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76E45" w14:textId="77777777" w:rsidR="0005429A" w:rsidRDefault="0005429A" w:rsidP="00EF35C1">
      <w:pPr>
        <w:pStyle w:val="xcontentpasted0"/>
        <w:rPr>
          <w:rFonts w:ascii="Helvetica" w:hAnsi="Helvetica" w:cs="Helvetica"/>
          <w:color w:val="000000"/>
          <w:shd w:val="clear" w:color="auto" w:fill="FFFFFF"/>
        </w:rPr>
      </w:pPr>
    </w:p>
    <w:p w14:paraId="1BF71E71" w14:textId="64CF8DFF" w:rsidR="00EF35C1" w:rsidRPr="00FC63D3" w:rsidRDefault="00EF35C1" w:rsidP="00EF35C1">
      <w:pPr>
        <w:pStyle w:val="xcontentpasted0"/>
        <w:rPr>
          <w:rFonts w:ascii="Helvetica" w:hAnsi="Helvetica" w:cs="Helvetica"/>
          <w:color w:val="000000"/>
          <w:shd w:val="clear" w:color="auto" w:fill="FFFFFF"/>
        </w:rPr>
      </w:pPr>
      <w:r w:rsidRPr="00FC63D3">
        <w:rPr>
          <w:rFonts w:ascii="Helvetica" w:hAnsi="Helvetica" w:cs="Helvetica"/>
          <w:color w:val="000000"/>
          <w:shd w:val="clear" w:color="auto" w:fill="FFFFFF"/>
        </w:rPr>
        <w:t>The Board of Assessors are pleased to announce that the Department of Revenue (DOR) approved Upton’s FY2024 tax rate of $13.68 per $1,000 of assessed value</w:t>
      </w:r>
      <w:r w:rsidR="0005429A">
        <w:rPr>
          <w:rFonts w:ascii="Helvetica" w:hAnsi="Helvetica" w:cs="Helvetica"/>
          <w:color w:val="000000"/>
          <w:shd w:val="clear" w:color="auto" w:fill="FFFFFF"/>
        </w:rPr>
        <w:t>.</w:t>
      </w:r>
      <w:r w:rsidRPr="00FC63D3">
        <w:rPr>
          <w:rFonts w:ascii="Helvetica" w:hAnsi="Helvetica" w:cs="Helvetica"/>
          <w:color w:val="000000"/>
          <w:shd w:val="clear" w:color="auto" w:fill="FFFFFF"/>
        </w:rPr>
        <w:t>  This is a decrease of $0.19 per thousand over the FY2023 tax rate of $13.87.  The DOR also approved the FY2024 assessed value of the real and personal property in Upton of $1,832,686,871, a 5.17% increase over the FY2023 assessed value of $1,742,540,839.  The increase includes new growth and changes in the assessed value of existing property</w:t>
      </w:r>
      <w:r w:rsidR="007C3CCA">
        <w:rPr>
          <w:rFonts w:ascii="Helvetica" w:hAnsi="Helvetica" w:cs="Helvetica"/>
          <w:color w:val="000000"/>
          <w:shd w:val="clear" w:color="auto" w:fill="FFFFFF"/>
        </w:rPr>
        <w:t>.</w:t>
      </w:r>
    </w:p>
    <w:p w14:paraId="24E4F362" w14:textId="77777777" w:rsidR="00FC63D3" w:rsidRPr="00FC63D3" w:rsidRDefault="00FC63D3" w:rsidP="00EF35C1">
      <w:pPr>
        <w:pStyle w:val="xcontentpasted0"/>
        <w:rPr>
          <w:rFonts w:ascii="Helvetica" w:hAnsi="Helvetica" w:cs="Helvetica"/>
          <w:color w:val="000000"/>
          <w:shd w:val="clear" w:color="auto" w:fill="FFFFFF"/>
        </w:rPr>
      </w:pPr>
    </w:p>
    <w:p w14:paraId="2425E8D2" w14:textId="27D88ABF" w:rsidR="00EF35C1" w:rsidRPr="00FC63D3" w:rsidRDefault="00EF35C1" w:rsidP="00EF35C1">
      <w:pPr>
        <w:pStyle w:val="xcontentpasted0"/>
        <w:rPr>
          <w:rFonts w:ascii="Helvetica" w:hAnsi="Helvetica" w:cs="Helvetica"/>
          <w:color w:val="000000"/>
          <w:shd w:val="clear" w:color="auto" w:fill="FFFFFF"/>
        </w:rPr>
      </w:pPr>
      <w:r w:rsidRPr="00FC63D3">
        <w:rPr>
          <w:rFonts w:ascii="Helvetica" w:hAnsi="Helvetica" w:cs="Helvetica"/>
          <w:color w:val="000000"/>
          <w:shd w:val="clear" w:color="auto" w:fill="FFFFFF"/>
        </w:rPr>
        <w:t xml:space="preserve">Upton has a single tax rate for all property classes.  The FY2024 assessed value of real and personal property consists of 95.07% residential, 1.50% </w:t>
      </w:r>
      <w:r w:rsidR="007C3CCA" w:rsidRPr="00FC63D3">
        <w:rPr>
          <w:rFonts w:ascii="Helvetica" w:hAnsi="Helvetica" w:cs="Helvetica"/>
          <w:color w:val="000000"/>
          <w:shd w:val="clear" w:color="auto" w:fill="FFFFFF"/>
        </w:rPr>
        <w:t>commercial,</w:t>
      </w:r>
      <w:r w:rsidRPr="00FC63D3">
        <w:rPr>
          <w:rFonts w:ascii="Helvetica" w:hAnsi="Helvetica" w:cs="Helvetica"/>
          <w:color w:val="000000"/>
          <w:shd w:val="clear" w:color="auto" w:fill="FFFFFF"/>
        </w:rPr>
        <w:t xml:space="preserve"> </w:t>
      </w:r>
      <w:r w:rsidR="0005429A">
        <w:rPr>
          <w:rFonts w:ascii="Helvetica" w:hAnsi="Helvetica" w:cs="Helvetica"/>
          <w:color w:val="000000"/>
          <w:shd w:val="clear" w:color="auto" w:fill="FFFFFF"/>
        </w:rPr>
        <w:t xml:space="preserve">and </w:t>
      </w:r>
      <w:r w:rsidRPr="00FC63D3">
        <w:rPr>
          <w:rFonts w:ascii="Helvetica" w:hAnsi="Helvetica" w:cs="Helvetica"/>
          <w:color w:val="000000"/>
          <w:shd w:val="clear" w:color="auto" w:fill="FFFFFF"/>
        </w:rPr>
        <w:t>.82% industrial real property, and 2.61% personal property.</w:t>
      </w:r>
    </w:p>
    <w:p w14:paraId="5D6177F6" w14:textId="77777777" w:rsidR="00EF35C1" w:rsidRPr="00FC63D3" w:rsidRDefault="00EF35C1" w:rsidP="00EF35C1">
      <w:pPr>
        <w:pStyle w:val="xcontentpasted0"/>
      </w:pPr>
      <w:r w:rsidRPr="00FC63D3">
        <w:rPr>
          <w:rFonts w:ascii="Helvetica" w:hAnsi="Helvetica" w:cs="Helvetica"/>
          <w:color w:val="000000"/>
          <w:shd w:val="clear" w:color="auto" w:fill="FFFFFF"/>
        </w:rPr>
        <w:t> </w:t>
      </w:r>
    </w:p>
    <w:p w14:paraId="40BB3BA7" w14:textId="28402592" w:rsidR="00FC63D3" w:rsidRDefault="00EF35C1" w:rsidP="00EF35C1">
      <w:pPr>
        <w:pStyle w:val="xcontentpasted0"/>
        <w:rPr>
          <w:rFonts w:ascii="Helvetica" w:hAnsi="Helvetica" w:cs="Helvetica"/>
          <w:color w:val="000000"/>
          <w:shd w:val="clear" w:color="auto" w:fill="FFFFFF"/>
        </w:rPr>
      </w:pPr>
      <w:r w:rsidRPr="00FC63D3">
        <w:rPr>
          <w:rFonts w:ascii="Helvetica" w:hAnsi="Helvetica" w:cs="Helvetica"/>
          <w:color w:val="000000"/>
          <w:shd w:val="clear" w:color="auto" w:fill="FFFFFF"/>
        </w:rPr>
        <w:t>The FY2024 tax rate is based on the amount raised through the property tax levy to fund the FY2024 budget and other financial expenditures approved at Town Meetings.  For FY2024, this is $25,071,156 after local revenues are accounted for.</w:t>
      </w:r>
    </w:p>
    <w:p w14:paraId="2DDFB661" w14:textId="77777777" w:rsidR="00EC3039" w:rsidRPr="00FC63D3" w:rsidRDefault="00EC3039" w:rsidP="00EF35C1">
      <w:pPr>
        <w:pStyle w:val="xcontentpasted0"/>
      </w:pPr>
    </w:p>
    <w:p w14:paraId="5621D252" w14:textId="48FAE6F7" w:rsidR="00FC63D3" w:rsidRDefault="00EF35C1" w:rsidP="00EF35C1">
      <w:pPr>
        <w:pStyle w:val="xcontentpasted0"/>
        <w:rPr>
          <w:rFonts w:ascii="Helvetica" w:hAnsi="Helvetica" w:cs="Helvetica"/>
          <w:color w:val="000000"/>
          <w:shd w:val="clear" w:color="auto" w:fill="FFFFFF"/>
        </w:rPr>
      </w:pPr>
      <w:r w:rsidRPr="00FC63D3">
        <w:rPr>
          <w:rFonts w:ascii="Helvetica" w:hAnsi="Helvetica" w:cs="Helvetica"/>
          <w:color w:val="000000"/>
          <w:shd w:val="clear" w:color="auto" w:fill="FFFFFF"/>
        </w:rPr>
        <w:t xml:space="preserve">Upton property tax bills are paid quarterly (due on Aug 1st, Nov 1st, Feb 1st, May 1st). </w:t>
      </w:r>
      <w:r w:rsidR="00EC3039">
        <w:rPr>
          <w:rFonts w:ascii="Helvetica" w:hAnsi="Helvetica" w:cs="Helvetica"/>
          <w:color w:val="000000"/>
          <w:shd w:val="clear" w:color="auto" w:fill="FFFFFF"/>
        </w:rPr>
        <w:t xml:space="preserve"> </w:t>
      </w:r>
      <w:r w:rsidRPr="00FC63D3">
        <w:rPr>
          <w:rFonts w:ascii="Helvetica" w:hAnsi="Helvetica" w:cs="Helvetica"/>
          <w:color w:val="000000"/>
          <w:shd w:val="clear" w:color="auto" w:fill="FFFFFF"/>
        </w:rPr>
        <w:t>The first two payments are considered</w:t>
      </w:r>
      <w:r w:rsidRPr="00FC63D3">
        <w:rPr>
          <w:rStyle w:val="xcontentpasted01"/>
          <w:rFonts w:ascii="Helvetica" w:hAnsi="Helvetica" w:cs="Helvetica"/>
          <w:color w:val="000000"/>
          <w:shd w:val="clear" w:color="auto" w:fill="FFFFFF"/>
        </w:rPr>
        <w:t> </w:t>
      </w:r>
      <w:r w:rsidRPr="00FC63D3">
        <w:rPr>
          <w:rStyle w:val="Emphasis"/>
          <w:rFonts w:ascii="Helvetica" w:hAnsi="Helvetica" w:cs="Helvetica"/>
          <w:color w:val="000000"/>
          <w:shd w:val="clear" w:color="auto" w:fill="FFFFFF"/>
        </w:rPr>
        <w:t>Preliminary</w:t>
      </w:r>
      <w:r w:rsidRPr="00FC63D3">
        <w:rPr>
          <w:rStyle w:val="xcontentpasted01"/>
          <w:rFonts w:ascii="Helvetica" w:hAnsi="Helvetica" w:cs="Helvetica"/>
          <w:color w:val="000000"/>
          <w:shd w:val="clear" w:color="auto" w:fill="FFFFFF"/>
        </w:rPr>
        <w:t> </w:t>
      </w:r>
      <w:r w:rsidRPr="00FC63D3">
        <w:rPr>
          <w:rFonts w:ascii="Helvetica" w:hAnsi="Helvetica" w:cs="Helvetica"/>
          <w:color w:val="000000"/>
          <w:shd w:val="clear" w:color="auto" w:fill="FFFFFF"/>
        </w:rPr>
        <w:t>bills as they are due before the new tax rate and assessed value are set and are based on the FY202</w:t>
      </w:r>
      <w:r w:rsidR="00EC3039">
        <w:rPr>
          <w:rFonts w:ascii="Helvetica" w:hAnsi="Helvetica" w:cs="Helvetica"/>
          <w:color w:val="000000"/>
          <w:shd w:val="clear" w:color="auto" w:fill="FFFFFF"/>
        </w:rPr>
        <w:t>3</w:t>
      </w:r>
      <w:r w:rsidRPr="00FC63D3">
        <w:rPr>
          <w:rFonts w:ascii="Helvetica" w:hAnsi="Helvetica" w:cs="Helvetica"/>
          <w:color w:val="000000"/>
          <w:shd w:val="clear" w:color="auto" w:fill="FFFFFF"/>
        </w:rPr>
        <w:t> tax rate and assessed value.  The second two payments are</w:t>
      </w:r>
      <w:r w:rsidRPr="00FC63D3">
        <w:rPr>
          <w:rStyle w:val="xcontentpasted01"/>
          <w:rFonts w:ascii="Helvetica" w:hAnsi="Helvetica" w:cs="Helvetica"/>
          <w:color w:val="000000"/>
          <w:shd w:val="clear" w:color="auto" w:fill="FFFFFF"/>
        </w:rPr>
        <w:t> </w:t>
      </w:r>
      <w:r w:rsidRPr="00FC63D3">
        <w:rPr>
          <w:rStyle w:val="Emphasis"/>
          <w:rFonts w:ascii="Helvetica" w:hAnsi="Helvetica" w:cs="Helvetica"/>
          <w:color w:val="000000"/>
          <w:shd w:val="clear" w:color="auto" w:fill="FFFFFF"/>
        </w:rPr>
        <w:t>Actual</w:t>
      </w:r>
      <w:r w:rsidRPr="00FC63D3">
        <w:rPr>
          <w:rStyle w:val="xcontentpasted01"/>
          <w:rFonts w:ascii="Helvetica" w:hAnsi="Helvetica" w:cs="Helvetica"/>
          <w:color w:val="000000"/>
          <w:shd w:val="clear" w:color="auto" w:fill="FFFFFF"/>
        </w:rPr>
        <w:t> </w:t>
      </w:r>
      <w:r w:rsidRPr="00FC63D3">
        <w:rPr>
          <w:rFonts w:ascii="Helvetica" w:hAnsi="Helvetica" w:cs="Helvetica"/>
          <w:color w:val="000000"/>
          <w:shd w:val="clear" w:color="auto" w:fill="FFFFFF"/>
        </w:rPr>
        <w:t>bills and are based on the actual FY2024 tax rate and assessed value.  As such, the Preliminary payments that are due on August 1st and November 1st may be greater than or less than the Actual payments that are due on February 1st and May 1st.  All payments include the 3% Community Preservation Act</w:t>
      </w:r>
      <w:r w:rsidR="00EC3039">
        <w:rPr>
          <w:rFonts w:ascii="Helvetica" w:hAnsi="Helvetica" w:cs="Helvetica"/>
          <w:color w:val="000000"/>
          <w:shd w:val="clear" w:color="auto" w:fill="FFFFFF"/>
        </w:rPr>
        <w:t xml:space="preserve"> (CPA</w:t>
      </w:r>
      <w:r w:rsidRPr="00FC63D3">
        <w:rPr>
          <w:rFonts w:ascii="Helvetica" w:hAnsi="Helvetica" w:cs="Helvetica"/>
          <w:color w:val="000000"/>
          <w:shd w:val="clear" w:color="auto" w:fill="FFFFFF"/>
        </w:rPr>
        <w:t>) surcharge</w:t>
      </w:r>
      <w:r w:rsidR="00EC3039">
        <w:rPr>
          <w:rFonts w:ascii="Helvetica" w:hAnsi="Helvetica" w:cs="Helvetica"/>
          <w:color w:val="000000"/>
          <w:shd w:val="clear" w:color="auto" w:fill="FFFFFF"/>
        </w:rPr>
        <w:t xml:space="preserve"> </w:t>
      </w:r>
      <w:r w:rsidR="0005429A">
        <w:rPr>
          <w:rFonts w:ascii="Helvetica" w:hAnsi="Helvetica" w:cs="Helvetica"/>
          <w:color w:val="000000"/>
          <w:shd w:val="clear" w:color="auto" w:fill="FFFFFF"/>
        </w:rPr>
        <w:t>voted</w:t>
      </w:r>
      <w:r w:rsidR="00EC3039">
        <w:rPr>
          <w:rFonts w:ascii="Helvetica" w:hAnsi="Helvetica" w:cs="Helvetica"/>
          <w:color w:val="000000"/>
          <w:shd w:val="clear" w:color="auto" w:fill="FFFFFF"/>
        </w:rPr>
        <w:t xml:space="preserve"> </w:t>
      </w:r>
      <w:r w:rsidR="0005429A">
        <w:rPr>
          <w:rFonts w:ascii="Helvetica" w:hAnsi="Helvetica" w:cs="Helvetica"/>
          <w:color w:val="000000"/>
          <w:shd w:val="clear" w:color="auto" w:fill="FFFFFF"/>
        </w:rPr>
        <w:t>in</w:t>
      </w:r>
      <w:r w:rsidR="00EC3039">
        <w:rPr>
          <w:rFonts w:ascii="Helvetica" w:hAnsi="Helvetica" w:cs="Helvetica"/>
          <w:color w:val="000000"/>
          <w:shd w:val="clear" w:color="auto" w:fill="FFFFFF"/>
        </w:rPr>
        <w:t xml:space="preserve"> 2004</w:t>
      </w:r>
      <w:r w:rsidRPr="00FC63D3">
        <w:rPr>
          <w:rFonts w:ascii="Helvetica" w:hAnsi="Helvetica" w:cs="Helvetica"/>
          <w:color w:val="000000"/>
          <w:shd w:val="clear" w:color="auto" w:fill="FFFFFF"/>
        </w:rPr>
        <w:t>.</w:t>
      </w:r>
    </w:p>
    <w:p w14:paraId="6189828E" w14:textId="77777777" w:rsidR="007C3CCA" w:rsidRDefault="007C3CCA" w:rsidP="00EF35C1">
      <w:pPr>
        <w:pStyle w:val="xcontentpasted0"/>
        <w:rPr>
          <w:rFonts w:ascii="Helvetica" w:hAnsi="Helvetica" w:cs="Helvetica"/>
          <w:color w:val="000000"/>
          <w:shd w:val="clear" w:color="auto" w:fill="FFFFFF"/>
        </w:rPr>
      </w:pPr>
    </w:p>
    <w:p w14:paraId="6C734FA4" w14:textId="1CE6E91B" w:rsidR="00EF35C1" w:rsidRDefault="00EF35C1" w:rsidP="00EF35C1">
      <w:pPr>
        <w:pStyle w:val="xcontentpasted0"/>
        <w:rPr>
          <w:rFonts w:ascii="Helvetica" w:hAnsi="Helvetica" w:cs="Helvetica"/>
          <w:color w:val="000000"/>
          <w:shd w:val="clear" w:color="auto" w:fill="FFFFFF"/>
        </w:rPr>
      </w:pPr>
      <w:r w:rsidRPr="00FC63D3">
        <w:rPr>
          <w:rFonts w:ascii="Helvetica" w:hAnsi="Helvetica" w:cs="Helvetica"/>
          <w:color w:val="000000"/>
          <w:shd w:val="clear" w:color="auto" w:fill="FFFFFF"/>
        </w:rPr>
        <w:t>The FY2024 tax rate of $13.68 also includes five previously approved debt exclusions.  The exclusions account for $.55, or 4.01%, of the $13.68 tax rate.</w:t>
      </w:r>
    </w:p>
    <w:p w14:paraId="44E05118" w14:textId="77777777" w:rsidR="007C3CCA" w:rsidRPr="00FC63D3" w:rsidRDefault="007C3CCA" w:rsidP="00EF35C1">
      <w:pPr>
        <w:pStyle w:val="xcontentpasted0"/>
        <w:rPr>
          <w:rFonts w:ascii="Helvetica" w:hAnsi="Helvetica" w:cs="Helvetica"/>
          <w:color w:val="000000"/>
          <w:shd w:val="clear" w:color="auto" w:fill="FFFFFF"/>
        </w:rPr>
      </w:pPr>
    </w:p>
    <w:tbl>
      <w:tblPr>
        <w:tblW w:w="7002" w:type="dxa"/>
        <w:jc w:val="center"/>
        <w:shd w:val="clear" w:color="auto" w:fill="FFFFFF"/>
        <w:tblCellMar>
          <w:left w:w="0" w:type="dxa"/>
          <w:right w:w="0" w:type="dxa"/>
        </w:tblCellMar>
        <w:tblLook w:val="04A0" w:firstRow="1" w:lastRow="0" w:firstColumn="1" w:lastColumn="0" w:noHBand="0" w:noVBand="1"/>
      </w:tblPr>
      <w:tblGrid>
        <w:gridCol w:w="2970"/>
        <w:gridCol w:w="2016"/>
        <w:gridCol w:w="2016"/>
      </w:tblGrid>
      <w:tr w:rsidR="00EF35C1" w14:paraId="2B575921" w14:textId="77777777" w:rsidTr="007C3CCA">
        <w:trPr>
          <w:jc w:val="center"/>
        </w:trPr>
        <w:tc>
          <w:tcPr>
            <w:tcW w:w="2970" w:type="dxa"/>
            <w:shd w:val="clear" w:color="auto" w:fill="002E5B"/>
            <w:tcMar>
              <w:top w:w="75" w:type="dxa"/>
              <w:left w:w="150" w:type="dxa"/>
              <w:bottom w:w="75" w:type="dxa"/>
              <w:right w:w="150" w:type="dxa"/>
            </w:tcMar>
            <w:vAlign w:val="center"/>
            <w:hideMark/>
          </w:tcPr>
          <w:p w14:paraId="1EC329DC" w14:textId="77777777" w:rsidR="00EF35C1" w:rsidRDefault="00EF35C1" w:rsidP="00106571">
            <w:pPr>
              <w:pStyle w:val="xmsonormal"/>
            </w:pPr>
            <w:r>
              <w:rPr>
                <w:b/>
                <w:bCs/>
                <w:color w:val="FFFFFF"/>
              </w:rPr>
              <w:t>Tax Rate Components</w:t>
            </w:r>
          </w:p>
        </w:tc>
        <w:tc>
          <w:tcPr>
            <w:tcW w:w="2016" w:type="dxa"/>
            <w:shd w:val="clear" w:color="auto" w:fill="002E5B"/>
            <w:tcMar>
              <w:top w:w="75" w:type="dxa"/>
              <w:left w:w="150" w:type="dxa"/>
              <w:bottom w:w="75" w:type="dxa"/>
              <w:right w:w="150" w:type="dxa"/>
            </w:tcMar>
            <w:vAlign w:val="center"/>
            <w:hideMark/>
          </w:tcPr>
          <w:p w14:paraId="4029AA53" w14:textId="77777777" w:rsidR="00EF35C1" w:rsidRDefault="00EF35C1" w:rsidP="00EC3039">
            <w:pPr>
              <w:pStyle w:val="xmsonormal"/>
              <w:jc w:val="center"/>
            </w:pPr>
            <w:r>
              <w:rPr>
                <w:b/>
                <w:bCs/>
                <w:color w:val="FFFFFF"/>
              </w:rPr>
              <w:t>Amount</w:t>
            </w:r>
          </w:p>
        </w:tc>
        <w:tc>
          <w:tcPr>
            <w:tcW w:w="2016" w:type="dxa"/>
            <w:shd w:val="clear" w:color="auto" w:fill="002E5B"/>
            <w:tcMar>
              <w:top w:w="75" w:type="dxa"/>
              <w:left w:w="150" w:type="dxa"/>
              <w:bottom w:w="75" w:type="dxa"/>
              <w:right w:w="150" w:type="dxa"/>
            </w:tcMar>
            <w:vAlign w:val="center"/>
            <w:hideMark/>
          </w:tcPr>
          <w:p w14:paraId="1977FDFC" w14:textId="77777777" w:rsidR="00EF35C1" w:rsidRDefault="00EF35C1" w:rsidP="00EC3039">
            <w:pPr>
              <w:pStyle w:val="xmsonormal"/>
              <w:jc w:val="center"/>
            </w:pPr>
            <w:r>
              <w:rPr>
                <w:b/>
                <w:bCs/>
                <w:color w:val="FFFFFF"/>
              </w:rPr>
              <w:t>Matures</w:t>
            </w:r>
          </w:p>
        </w:tc>
      </w:tr>
      <w:tr w:rsidR="00EF35C1" w14:paraId="5C3EB7A6" w14:textId="77777777" w:rsidTr="0005429A">
        <w:trPr>
          <w:trHeight w:val="144"/>
          <w:jc w:val="center"/>
        </w:trPr>
        <w:tc>
          <w:tcPr>
            <w:tcW w:w="2970" w:type="dxa"/>
            <w:shd w:val="clear" w:color="auto" w:fill="FFFFFF"/>
            <w:tcMar>
              <w:top w:w="75" w:type="dxa"/>
              <w:left w:w="150" w:type="dxa"/>
              <w:bottom w:w="75" w:type="dxa"/>
              <w:right w:w="150" w:type="dxa"/>
            </w:tcMar>
            <w:vAlign w:val="center"/>
            <w:hideMark/>
          </w:tcPr>
          <w:p w14:paraId="510323C0" w14:textId="77777777" w:rsidR="00EF35C1" w:rsidRPr="0082367C" w:rsidRDefault="00EF35C1" w:rsidP="00106571">
            <w:pPr>
              <w:pStyle w:val="xmsonormal"/>
            </w:pPr>
            <w:r w:rsidRPr="0082367C">
              <w:t>Tax Rate within Prop 2 1/2 </w:t>
            </w:r>
          </w:p>
        </w:tc>
        <w:tc>
          <w:tcPr>
            <w:tcW w:w="2016" w:type="dxa"/>
            <w:shd w:val="clear" w:color="auto" w:fill="FFFFFF"/>
            <w:tcMar>
              <w:top w:w="75" w:type="dxa"/>
              <w:left w:w="150" w:type="dxa"/>
              <w:bottom w:w="75" w:type="dxa"/>
              <w:right w:w="150" w:type="dxa"/>
            </w:tcMar>
            <w:vAlign w:val="center"/>
            <w:hideMark/>
          </w:tcPr>
          <w:p w14:paraId="007F51A6" w14:textId="77777777" w:rsidR="00EF35C1" w:rsidRPr="0082367C" w:rsidRDefault="00EF35C1" w:rsidP="00EC3039">
            <w:pPr>
              <w:pStyle w:val="xmsonormal"/>
              <w:jc w:val="center"/>
            </w:pPr>
            <w:r w:rsidRPr="0082367C">
              <w:t>$13.13</w:t>
            </w:r>
          </w:p>
        </w:tc>
        <w:tc>
          <w:tcPr>
            <w:tcW w:w="2016" w:type="dxa"/>
            <w:shd w:val="clear" w:color="auto" w:fill="FFFFFF"/>
            <w:tcMar>
              <w:top w:w="75" w:type="dxa"/>
              <w:left w:w="150" w:type="dxa"/>
              <w:bottom w:w="75" w:type="dxa"/>
              <w:right w:w="150" w:type="dxa"/>
            </w:tcMar>
            <w:vAlign w:val="center"/>
            <w:hideMark/>
          </w:tcPr>
          <w:p w14:paraId="2F6BF910" w14:textId="457D8A19" w:rsidR="00EF35C1" w:rsidRPr="0082367C" w:rsidRDefault="00EF35C1" w:rsidP="00EC3039">
            <w:pPr>
              <w:pStyle w:val="xmsonormal"/>
              <w:jc w:val="center"/>
            </w:pPr>
          </w:p>
        </w:tc>
      </w:tr>
      <w:tr w:rsidR="00EF35C1" w14:paraId="46D584FA" w14:textId="77777777" w:rsidTr="0005429A">
        <w:trPr>
          <w:trHeight w:val="144"/>
          <w:jc w:val="center"/>
        </w:trPr>
        <w:tc>
          <w:tcPr>
            <w:tcW w:w="2970" w:type="dxa"/>
            <w:shd w:val="clear" w:color="auto" w:fill="auto"/>
            <w:tcMar>
              <w:top w:w="75" w:type="dxa"/>
              <w:left w:w="150" w:type="dxa"/>
              <w:bottom w:w="75" w:type="dxa"/>
              <w:right w:w="150" w:type="dxa"/>
            </w:tcMar>
            <w:vAlign w:val="center"/>
            <w:hideMark/>
          </w:tcPr>
          <w:p w14:paraId="6D1842AA" w14:textId="77777777" w:rsidR="00EF35C1" w:rsidRPr="0005429A" w:rsidRDefault="00EF35C1" w:rsidP="00106571">
            <w:pPr>
              <w:pStyle w:val="xmsonormal"/>
              <w:rPr>
                <w:u w:val="single"/>
              </w:rPr>
            </w:pPr>
            <w:r w:rsidRPr="0005429A">
              <w:rPr>
                <w:rStyle w:val="Strong"/>
                <w:u w:val="single"/>
              </w:rPr>
              <w:t>Debt Exclusions:</w:t>
            </w:r>
          </w:p>
        </w:tc>
        <w:tc>
          <w:tcPr>
            <w:tcW w:w="2016" w:type="dxa"/>
            <w:shd w:val="clear" w:color="auto" w:fill="auto"/>
            <w:tcMar>
              <w:top w:w="75" w:type="dxa"/>
              <w:left w:w="150" w:type="dxa"/>
              <w:bottom w:w="75" w:type="dxa"/>
              <w:right w:w="150" w:type="dxa"/>
            </w:tcMar>
            <w:vAlign w:val="center"/>
            <w:hideMark/>
          </w:tcPr>
          <w:p w14:paraId="56C276BB" w14:textId="77777777" w:rsidR="00EF35C1" w:rsidRPr="0005429A" w:rsidRDefault="00EF35C1" w:rsidP="00EC3039">
            <w:pPr>
              <w:pStyle w:val="xmsonormal"/>
              <w:jc w:val="center"/>
            </w:pPr>
          </w:p>
        </w:tc>
        <w:tc>
          <w:tcPr>
            <w:tcW w:w="2016" w:type="dxa"/>
            <w:shd w:val="clear" w:color="auto" w:fill="auto"/>
            <w:tcMar>
              <w:top w:w="75" w:type="dxa"/>
              <w:left w:w="150" w:type="dxa"/>
              <w:bottom w:w="75" w:type="dxa"/>
              <w:right w:w="150" w:type="dxa"/>
            </w:tcMar>
            <w:vAlign w:val="center"/>
            <w:hideMark/>
          </w:tcPr>
          <w:p w14:paraId="7D51D140" w14:textId="7C27AF61" w:rsidR="00EF35C1" w:rsidRPr="0005429A" w:rsidRDefault="00EF35C1" w:rsidP="00EC3039">
            <w:pPr>
              <w:pStyle w:val="xmsonormal"/>
              <w:jc w:val="center"/>
            </w:pPr>
          </w:p>
        </w:tc>
      </w:tr>
      <w:tr w:rsidR="00EF35C1" w14:paraId="3A6EA164" w14:textId="77777777" w:rsidTr="0005429A">
        <w:trPr>
          <w:trHeight w:val="144"/>
          <w:jc w:val="center"/>
        </w:trPr>
        <w:tc>
          <w:tcPr>
            <w:tcW w:w="2970" w:type="dxa"/>
            <w:shd w:val="clear" w:color="auto" w:fill="FFFFFF"/>
            <w:tcMar>
              <w:top w:w="75" w:type="dxa"/>
              <w:left w:w="150" w:type="dxa"/>
              <w:bottom w:w="75" w:type="dxa"/>
              <w:right w:w="150" w:type="dxa"/>
            </w:tcMar>
            <w:vAlign w:val="center"/>
            <w:hideMark/>
          </w:tcPr>
          <w:p w14:paraId="085B4710" w14:textId="5D3C9203" w:rsidR="00EF35C1" w:rsidRPr="0082367C" w:rsidRDefault="00EF35C1" w:rsidP="00106571">
            <w:pPr>
              <w:pStyle w:val="xmsonormal"/>
            </w:pPr>
            <w:r w:rsidRPr="0082367C">
              <w:t>-</w:t>
            </w:r>
            <w:r>
              <w:t>Memorial School</w:t>
            </w:r>
          </w:p>
        </w:tc>
        <w:tc>
          <w:tcPr>
            <w:tcW w:w="2016" w:type="dxa"/>
            <w:shd w:val="clear" w:color="auto" w:fill="FFFFFF"/>
            <w:tcMar>
              <w:top w:w="75" w:type="dxa"/>
              <w:left w:w="150" w:type="dxa"/>
              <w:bottom w:w="75" w:type="dxa"/>
              <w:right w:w="150" w:type="dxa"/>
            </w:tcMar>
            <w:vAlign w:val="center"/>
            <w:hideMark/>
          </w:tcPr>
          <w:p w14:paraId="30C1D4EE" w14:textId="6BBEE0F8" w:rsidR="00EF35C1" w:rsidRPr="0082367C" w:rsidRDefault="007C3CCA" w:rsidP="00EC3039">
            <w:pPr>
              <w:pStyle w:val="xmsonormal"/>
              <w:jc w:val="center"/>
            </w:pPr>
            <w:r>
              <w:t xml:space="preserve">  </w:t>
            </w:r>
            <w:r w:rsidR="00EF35C1">
              <w:t>$0.16</w:t>
            </w:r>
          </w:p>
        </w:tc>
        <w:tc>
          <w:tcPr>
            <w:tcW w:w="2016" w:type="dxa"/>
            <w:shd w:val="clear" w:color="auto" w:fill="FFFFFF"/>
            <w:tcMar>
              <w:top w:w="75" w:type="dxa"/>
              <w:left w:w="150" w:type="dxa"/>
              <w:bottom w:w="75" w:type="dxa"/>
              <w:right w:w="150" w:type="dxa"/>
            </w:tcMar>
            <w:vAlign w:val="center"/>
            <w:hideMark/>
          </w:tcPr>
          <w:p w14:paraId="17127712" w14:textId="75F6B26B" w:rsidR="00EF35C1" w:rsidRPr="0082367C" w:rsidRDefault="00EF35C1" w:rsidP="00EC3039">
            <w:pPr>
              <w:pStyle w:val="xmsonormal"/>
              <w:jc w:val="center"/>
            </w:pPr>
            <w:r>
              <w:t>2024</w:t>
            </w:r>
          </w:p>
        </w:tc>
      </w:tr>
      <w:tr w:rsidR="00EF35C1" w14:paraId="770412EF" w14:textId="77777777" w:rsidTr="0005429A">
        <w:trPr>
          <w:trHeight w:val="144"/>
          <w:jc w:val="center"/>
        </w:trPr>
        <w:tc>
          <w:tcPr>
            <w:tcW w:w="2970" w:type="dxa"/>
            <w:shd w:val="clear" w:color="auto" w:fill="FFFFFF"/>
            <w:tcMar>
              <w:top w:w="75" w:type="dxa"/>
              <w:left w:w="150" w:type="dxa"/>
              <w:bottom w:w="75" w:type="dxa"/>
              <w:right w:w="150" w:type="dxa"/>
            </w:tcMar>
            <w:vAlign w:val="center"/>
          </w:tcPr>
          <w:p w14:paraId="123ECC33" w14:textId="44F38D9F" w:rsidR="00EF35C1" w:rsidRPr="0082367C" w:rsidRDefault="00EF35C1" w:rsidP="00106571">
            <w:pPr>
              <w:pStyle w:val="xmsonormal"/>
            </w:pPr>
            <w:r>
              <w:t>-Miscoe Hill Middle School</w:t>
            </w:r>
          </w:p>
        </w:tc>
        <w:tc>
          <w:tcPr>
            <w:tcW w:w="2016" w:type="dxa"/>
            <w:shd w:val="clear" w:color="auto" w:fill="FFFFFF"/>
            <w:tcMar>
              <w:top w:w="75" w:type="dxa"/>
              <w:left w:w="150" w:type="dxa"/>
              <w:bottom w:w="75" w:type="dxa"/>
              <w:right w:w="150" w:type="dxa"/>
            </w:tcMar>
            <w:vAlign w:val="center"/>
          </w:tcPr>
          <w:p w14:paraId="0E2C8DDB" w14:textId="14C9759E" w:rsidR="00EF35C1" w:rsidRDefault="007C3CCA" w:rsidP="00EC3039">
            <w:pPr>
              <w:pStyle w:val="xmsonormal"/>
              <w:jc w:val="center"/>
            </w:pPr>
            <w:r>
              <w:t xml:space="preserve">  </w:t>
            </w:r>
            <w:r w:rsidR="00EF35C1">
              <w:t>$0.04</w:t>
            </w:r>
          </w:p>
        </w:tc>
        <w:tc>
          <w:tcPr>
            <w:tcW w:w="2016" w:type="dxa"/>
            <w:shd w:val="clear" w:color="auto" w:fill="FFFFFF"/>
            <w:tcMar>
              <w:top w:w="75" w:type="dxa"/>
              <w:left w:w="150" w:type="dxa"/>
              <w:bottom w:w="75" w:type="dxa"/>
              <w:right w:w="150" w:type="dxa"/>
            </w:tcMar>
            <w:vAlign w:val="center"/>
          </w:tcPr>
          <w:p w14:paraId="5E4ACF6B" w14:textId="0170C588" w:rsidR="00EF35C1" w:rsidRDefault="00EF35C1" w:rsidP="00EC3039">
            <w:pPr>
              <w:pStyle w:val="xmsonormal"/>
              <w:jc w:val="center"/>
            </w:pPr>
            <w:r>
              <w:t>2024</w:t>
            </w:r>
          </w:p>
        </w:tc>
      </w:tr>
      <w:tr w:rsidR="00EF35C1" w14:paraId="639AE3EA" w14:textId="77777777" w:rsidTr="0005429A">
        <w:trPr>
          <w:trHeight w:val="144"/>
          <w:jc w:val="center"/>
        </w:trPr>
        <w:tc>
          <w:tcPr>
            <w:tcW w:w="2970" w:type="dxa"/>
            <w:shd w:val="clear" w:color="auto" w:fill="FFFFFF"/>
            <w:tcMar>
              <w:top w:w="75" w:type="dxa"/>
              <w:left w:w="150" w:type="dxa"/>
              <w:bottom w:w="75" w:type="dxa"/>
              <w:right w:w="150" w:type="dxa"/>
            </w:tcMar>
            <w:vAlign w:val="center"/>
          </w:tcPr>
          <w:p w14:paraId="208B9BBD" w14:textId="6132D16A" w:rsidR="00EF35C1" w:rsidRDefault="00EF35C1" w:rsidP="00106571">
            <w:pPr>
              <w:pStyle w:val="xmsonormal"/>
            </w:pPr>
            <w:r>
              <w:t>-Blackstone Valley Tech</w:t>
            </w:r>
          </w:p>
        </w:tc>
        <w:tc>
          <w:tcPr>
            <w:tcW w:w="2016" w:type="dxa"/>
            <w:shd w:val="clear" w:color="auto" w:fill="FFFFFF"/>
            <w:tcMar>
              <w:top w:w="75" w:type="dxa"/>
              <w:left w:w="150" w:type="dxa"/>
              <w:bottom w:w="75" w:type="dxa"/>
              <w:right w:w="150" w:type="dxa"/>
            </w:tcMar>
            <w:vAlign w:val="center"/>
          </w:tcPr>
          <w:p w14:paraId="26E25570" w14:textId="0FB1FB0E" w:rsidR="00EF35C1" w:rsidRDefault="007C3CCA" w:rsidP="00EC3039">
            <w:pPr>
              <w:pStyle w:val="xmsonormal"/>
              <w:jc w:val="center"/>
            </w:pPr>
            <w:r>
              <w:t xml:space="preserve">  </w:t>
            </w:r>
            <w:r w:rsidR="00EF35C1">
              <w:t>$0.01</w:t>
            </w:r>
          </w:p>
        </w:tc>
        <w:tc>
          <w:tcPr>
            <w:tcW w:w="2016" w:type="dxa"/>
            <w:shd w:val="clear" w:color="auto" w:fill="FFFFFF"/>
            <w:tcMar>
              <w:top w:w="75" w:type="dxa"/>
              <w:left w:w="150" w:type="dxa"/>
              <w:bottom w:w="75" w:type="dxa"/>
              <w:right w:w="150" w:type="dxa"/>
            </w:tcMar>
            <w:vAlign w:val="center"/>
          </w:tcPr>
          <w:p w14:paraId="53F470DE" w14:textId="0280A16C" w:rsidR="00EF35C1" w:rsidRDefault="00EF35C1" w:rsidP="00EC3039">
            <w:pPr>
              <w:pStyle w:val="xmsonormal"/>
              <w:jc w:val="center"/>
            </w:pPr>
            <w:r>
              <w:t>2025</w:t>
            </w:r>
          </w:p>
        </w:tc>
      </w:tr>
      <w:tr w:rsidR="00EF35C1" w14:paraId="740F1B74" w14:textId="77777777" w:rsidTr="0005429A">
        <w:trPr>
          <w:trHeight w:val="144"/>
          <w:jc w:val="center"/>
        </w:trPr>
        <w:tc>
          <w:tcPr>
            <w:tcW w:w="2970" w:type="dxa"/>
            <w:shd w:val="clear" w:color="auto" w:fill="FFFFFF"/>
            <w:tcMar>
              <w:top w:w="75" w:type="dxa"/>
              <w:left w:w="150" w:type="dxa"/>
              <w:bottom w:w="75" w:type="dxa"/>
              <w:right w:w="150" w:type="dxa"/>
            </w:tcMar>
            <w:vAlign w:val="center"/>
          </w:tcPr>
          <w:p w14:paraId="6EDB7CCF" w14:textId="2FC32BC6" w:rsidR="00EF35C1" w:rsidRDefault="00EF35C1" w:rsidP="00106571">
            <w:pPr>
              <w:pStyle w:val="xmsonormal"/>
            </w:pPr>
            <w:r>
              <w:t>-Third Water Source</w:t>
            </w:r>
          </w:p>
        </w:tc>
        <w:tc>
          <w:tcPr>
            <w:tcW w:w="2016" w:type="dxa"/>
            <w:shd w:val="clear" w:color="auto" w:fill="FFFFFF"/>
            <w:tcMar>
              <w:top w:w="75" w:type="dxa"/>
              <w:left w:w="150" w:type="dxa"/>
              <w:bottom w:w="75" w:type="dxa"/>
              <w:right w:w="150" w:type="dxa"/>
            </w:tcMar>
            <w:vAlign w:val="center"/>
          </w:tcPr>
          <w:p w14:paraId="755006AF" w14:textId="39F8F498" w:rsidR="00EF35C1" w:rsidRDefault="007C3CCA" w:rsidP="00EC3039">
            <w:pPr>
              <w:pStyle w:val="xmsonormal"/>
              <w:jc w:val="center"/>
            </w:pPr>
            <w:r>
              <w:t xml:space="preserve">  </w:t>
            </w:r>
            <w:r w:rsidR="00EF35C1">
              <w:t>$0.06</w:t>
            </w:r>
          </w:p>
        </w:tc>
        <w:tc>
          <w:tcPr>
            <w:tcW w:w="2016" w:type="dxa"/>
            <w:shd w:val="clear" w:color="auto" w:fill="FFFFFF"/>
            <w:tcMar>
              <w:top w:w="75" w:type="dxa"/>
              <w:left w:w="150" w:type="dxa"/>
              <w:bottom w:w="75" w:type="dxa"/>
              <w:right w:w="150" w:type="dxa"/>
            </w:tcMar>
            <w:vAlign w:val="center"/>
          </w:tcPr>
          <w:p w14:paraId="1A1D6096" w14:textId="2C008F91" w:rsidR="00EF35C1" w:rsidRDefault="00EF35C1" w:rsidP="00EC3039">
            <w:pPr>
              <w:pStyle w:val="xmsonormal"/>
              <w:jc w:val="center"/>
            </w:pPr>
            <w:r>
              <w:t>2033</w:t>
            </w:r>
          </w:p>
        </w:tc>
      </w:tr>
      <w:tr w:rsidR="00EF35C1" w14:paraId="63A06D46" w14:textId="77777777" w:rsidTr="0005429A">
        <w:trPr>
          <w:trHeight w:val="144"/>
          <w:jc w:val="center"/>
        </w:trPr>
        <w:tc>
          <w:tcPr>
            <w:tcW w:w="2970" w:type="dxa"/>
            <w:shd w:val="clear" w:color="auto" w:fill="FFFFFF"/>
            <w:tcMar>
              <w:top w:w="75" w:type="dxa"/>
              <w:left w:w="150" w:type="dxa"/>
              <w:bottom w:w="75" w:type="dxa"/>
              <w:right w:w="150" w:type="dxa"/>
            </w:tcMar>
            <w:vAlign w:val="center"/>
          </w:tcPr>
          <w:p w14:paraId="188CA32C" w14:textId="53AEB714" w:rsidR="00EF35C1" w:rsidRDefault="00EF35C1" w:rsidP="00106571">
            <w:pPr>
              <w:pStyle w:val="xmsonormal"/>
            </w:pPr>
            <w:r>
              <w:t>-Community Center</w:t>
            </w:r>
          </w:p>
        </w:tc>
        <w:tc>
          <w:tcPr>
            <w:tcW w:w="2016" w:type="dxa"/>
            <w:shd w:val="clear" w:color="auto" w:fill="FFFFFF"/>
            <w:tcMar>
              <w:top w:w="75" w:type="dxa"/>
              <w:left w:w="150" w:type="dxa"/>
              <w:bottom w:w="75" w:type="dxa"/>
              <w:right w:w="150" w:type="dxa"/>
            </w:tcMar>
            <w:vAlign w:val="center"/>
          </w:tcPr>
          <w:p w14:paraId="665C8ADA" w14:textId="1ECC4104" w:rsidR="00EF35C1" w:rsidRDefault="007C3CCA" w:rsidP="00EC3039">
            <w:pPr>
              <w:pStyle w:val="xmsonormal"/>
              <w:jc w:val="center"/>
            </w:pPr>
            <w:r>
              <w:t xml:space="preserve">  </w:t>
            </w:r>
            <w:r w:rsidR="00EF35C1">
              <w:t>$0.28</w:t>
            </w:r>
          </w:p>
        </w:tc>
        <w:tc>
          <w:tcPr>
            <w:tcW w:w="2016" w:type="dxa"/>
            <w:shd w:val="clear" w:color="auto" w:fill="FFFFFF"/>
            <w:tcMar>
              <w:top w:w="75" w:type="dxa"/>
              <w:left w:w="150" w:type="dxa"/>
              <w:bottom w:w="75" w:type="dxa"/>
              <w:right w:w="150" w:type="dxa"/>
            </w:tcMar>
            <w:vAlign w:val="center"/>
          </w:tcPr>
          <w:p w14:paraId="0747AC0F" w14:textId="20A3451A" w:rsidR="00EF35C1" w:rsidRDefault="00EF35C1" w:rsidP="00EC3039">
            <w:pPr>
              <w:pStyle w:val="xmsonormal"/>
              <w:jc w:val="center"/>
            </w:pPr>
            <w:r>
              <w:t>2024</w:t>
            </w:r>
          </w:p>
        </w:tc>
      </w:tr>
    </w:tbl>
    <w:p w14:paraId="7E2B372E" w14:textId="77777777" w:rsidR="007C3CCA" w:rsidRDefault="007C3CCA" w:rsidP="00EF35C1">
      <w:pPr>
        <w:pStyle w:val="xcontentpasted0"/>
        <w:rPr>
          <w:rFonts w:ascii="Helvetica" w:hAnsi="Helvetica" w:cs="Helvetica"/>
          <w:color w:val="000000"/>
          <w:shd w:val="clear" w:color="auto" w:fill="FFFFFF"/>
        </w:rPr>
      </w:pPr>
    </w:p>
    <w:p w14:paraId="5E9A9271" w14:textId="2BC2F85B" w:rsidR="00EF35C1" w:rsidRDefault="00EF35C1" w:rsidP="00EF35C1">
      <w:pPr>
        <w:pStyle w:val="xcontentpasted0"/>
        <w:rPr>
          <w:rStyle w:val="Hyperlink"/>
          <w:rFonts w:ascii="Helvetica" w:hAnsi="Helvetica" w:cs="Helvetica"/>
          <w:color w:val="3366CC"/>
          <w:shd w:val="clear" w:color="auto" w:fill="FFFFFF"/>
        </w:rPr>
      </w:pPr>
      <w:r w:rsidRPr="00FC63D3">
        <w:rPr>
          <w:rFonts w:ascii="Helvetica" w:hAnsi="Helvetica" w:cs="Helvetica"/>
          <w:color w:val="000000"/>
          <w:shd w:val="clear" w:color="auto" w:fill="FFFFFF"/>
        </w:rPr>
        <w:t>If you have any questions about the tax rate, property assessment, abatements, or exemptions, contact the Assessors: by phone at 508-529-1002, or email at</w:t>
      </w:r>
      <w:r w:rsidRPr="00FC63D3">
        <w:rPr>
          <w:rStyle w:val="xcontentpasted01"/>
          <w:rFonts w:ascii="Helvetica" w:hAnsi="Helvetica" w:cs="Helvetica"/>
          <w:color w:val="000000"/>
          <w:shd w:val="clear" w:color="auto" w:fill="FFFFFF"/>
        </w:rPr>
        <w:t> </w:t>
      </w:r>
      <w:hyperlink r:id="rId6" w:history="1">
        <w:r w:rsidRPr="00FC63D3">
          <w:rPr>
            <w:rStyle w:val="Hyperlink"/>
            <w:rFonts w:ascii="Helvetica" w:hAnsi="Helvetica" w:cs="Helvetica"/>
            <w:color w:val="3366CC"/>
            <w:shd w:val="clear" w:color="auto" w:fill="FFFFFF"/>
          </w:rPr>
          <w:t>boa@uptonma.gov</w:t>
        </w:r>
      </w:hyperlink>
      <w:r w:rsidR="007C3CCA">
        <w:rPr>
          <w:rStyle w:val="Hyperlink"/>
          <w:rFonts w:ascii="Helvetica" w:hAnsi="Helvetica" w:cs="Helvetica"/>
          <w:color w:val="3366CC"/>
          <w:shd w:val="clear" w:color="auto" w:fill="FFFFFF"/>
        </w:rPr>
        <w:t>.</w:t>
      </w:r>
    </w:p>
    <w:p w14:paraId="457DD51F" w14:textId="77777777" w:rsidR="00FC63D3" w:rsidRPr="00FC63D3" w:rsidRDefault="00FC63D3" w:rsidP="00EF35C1">
      <w:pPr>
        <w:pStyle w:val="xcontentpasted0"/>
        <w:rPr>
          <w:rFonts w:ascii="Helvetica" w:hAnsi="Helvetica" w:cs="Helvetica"/>
          <w:color w:val="000000"/>
          <w:shd w:val="clear" w:color="auto" w:fill="FFFFFF"/>
        </w:rPr>
      </w:pPr>
    </w:p>
    <w:p w14:paraId="6AF0F25B" w14:textId="394F875F" w:rsidR="00EF35C1" w:rsidRPr="00FC63D3" w:rsidRDefault="00EF35C1" w:rsidP="00EF35C1">
      <w:pPr>
        <w:pStyle w:val="xcontentpasted0"/>
        <w:rPr>
          <w:rFonts w:ascii="Helvetica" w:hAnsi="Helvetica" w:cs="Helvetica"/>
          <w:color w:val="000000"/>
          <w:shd w:val="clear" w:color="auto" w:fill="FFFFFF"/>
        </w:rPr>
      </w:pPr>
      <w:r w:rsidRPr="00FC63D3">
        <w:rPr>
          <w:rFonts w:ascii="Helvetica" w:hAnsi="Helvetica" w:cs="Helvetica"/>
          <w:color w:val="000000"/>
          <w:shd w:val="clear" w:color="auto" w:fill="FFFFFF"/>
        </w:rPr>
        <w:t xml:space="preserve">The Assessor’s office is open during Town Hall business hours. </w:t>
      </w:r>
      <w:r w:rsidR="00EC3039">
        <w:rPr>
          <w:rFonts w:ascii="Helvetica" w:hAnsi="Helvetica" w:cs="Helvetica"/>
          <w:color w:val="000000"/>
          <w:shd w:val="clear" w:color="auto" w:fill="FFFFFF"/>
        </w:rPr>
        <w:t xml:space="preserve"> </w:t>
      </w:r>
      <w:r w:rsidRPr="00FC63D3">
        <w:rPr>
          <w:rFonts w:ascii="Helvetica" w:hAnsi="Helvetica" w:cs="Helvetica"/>
          <w:color w:val="000000"/>
          <w:shd w:val="clear" w:color="auto" w:fill="FFFFFF"/>
        </w:rPr>
        <w:t>The Board of Assessors meet regularly so please check the website for meeting dates.  Lastly, we are available by appointment</w:t>
      </w:r>
      <w:r w:rsidR="007C3CCA">
        <w:rPr>
          <w:rFonts w:ascii="Helvetica" w:hAnsi="Helvetica" w:cs="Helvetica"/>
          <w:color w:val="000000"/>
          <w:shd w:val="clear" w:color="auto" w:fill="FFFFFF"/>
        </w:rPr>
        <w:t>.</w:t>
      </w:r>
    </w:p>
    <w:p w14:paraId="388E902F" w14:textId="77777777" w:rsidR="00EF35C1" w:rsidRPr="00FC63D3" w:rsidRDefault="00EF35C1" w:rsidP="00EF35C1">
      <w:pPr>
        <w:pStyle w:val="xcontentpasted0"/>
        <w:rPr>
          <w:rFonts w:ascii="Helvetica" w:hAnsi="Helvetica" w:cs="Helvetica"/>
          <w:color w:val="000000"/>
          <w:shd w:val="clear" w:color="auto" w:fill="FFFFFF"/>
        </w:rPr>
      </w:pPr>
    </w:p>
    <w:p w14:paraId="582CB9EE" w14:textId="77D3DBE2" w:rsidR="00F81C80" w:rsidRPr="00FC63D3" w:rsidRDefault="00EF35C1" w:rsidP="00FC63D3">
      <w:pPr>
        <w:pStyle w:val="xcontentpasted0"/>
      </w:pPr>
      <w:r w:rsidRPr="00FC63D3">
        <w:rPr>
          <w:rFonts w:ascii="Helvetica" w:hAnsi="Helvetica" w:cs="Helvetica"/>
          <w:color w:val="000000"/>
          <w:shd w:val="clear" w:color="auto" w:fill="FFFFFF"/>
        </w:rPr>
        <w:t>If you need any information about</w:t>
      </w:r>
      <w:r w:rsidRPr="00FC63D3">
        <w:rPr>
          <w:rStyle w:val="xcontentpasted01"/>
          <w:rFonts w:ascii="Helvetica" w:hAnsi="Helvetica" w:cs="Helvetica"/>
          <w:color w:val="000000"/>
          <w:shd w:val="clear" w:color="auto" w:fill="FFFFFF"/>
        </w:rPr>
        <w:t> </w:t>
      </w:r>
      <w:r w:rsidRPr="00FC63D3">
        <w:rPr>
          <w:rStyle w:val="Emphasis"/>
          <w:rFonts w:ascii="Helvetica" w:hAnsi="Helvetica" w:cs="Helvetica"/>
          <w:b/>
          <w:bCs/>
          <w:color w:val="000000"/>
          <w:shd w:val="clear" w:color="auto" w:fill="FFFFFF"/>
        </w:rPr>
        <w:t>paying</w:t>
      </w:r>
      <w:r w:rsidRPr="00FC63D3">
        <w:rPr>
          <w:rStyle w:val="xcontentpasted01"/>
          <w:rFonts w:ascii="Helvetica" w:hAnsi="Helvetica" w:cs="Helvetica"/>
          <w:b/>
          <w:bCs/>
          <w:color w:val="000000"/>
          <w:shd w:val="clear" w:color="auto" w:fill="FFFFFF"/>
        </w:rPr>
        <w:t> </w:t>
      </w:r>
      <w:r w:rsidRPr="00FC63D3">
        <w:rPr>
          <w:rFonts w:ascii="Helvetica" w:hAnsi="Helvetica" w:cs="Helvetica"/>
          <w:color w:val="000000"/>
          <w:shd w:val="clear" w:color="auto" w:fill="FFFFFF"/>
        </w:rPr>
        <w:t xml:space="preserve">the tax </w:t>
      </w:r>
      <w:r w:rsidR="00FC63D3" w:rsidRPr="00FC63D3">
        <w:rPr>
          <w:rFonts w:ascii="Helvetica" w:hAnsi="Helvetica" w:cs="Helvetica"/>
          <w:color w:val="000000"/>
          <w:shd w:val="clear" w:color="auto" w:fill="FFFFFF"/>
        </w:rPr>
        <w:t>bill,</w:t>
      </w:r>
      <w:r w:rsidRPr="00FC63D3">
        <w:rPr>
          <w:rFonts w:ascii="Helvetica" w:hAnsi="Helvetica" w:cs="Helvetica"/>
          <w:color w:val="000000"/>
          <w:shd w:val="clear" w:color="auto" w:fill="FFFFFF"/>
        </w:rPr>
        <w:t xml:space="preserve"> please contact the Treasurer/Collectors office by phone at 508-529-3737 or visit the website.</w:t>
      </w:r>
    </w:p>
    <w:sectPr w:rsidR="00F81C80" w:rsidRPr="00FC63D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8A9C8" w14:textId="77777777" w:rsidR="00EF0AC9" w:rsidRDefault="00EF0AC9" w:rsidP="00EF35C1">
      <w:r>
        <w:separator/>
      </w:r>
    </w:p>
  </w:endnote>
  <w:endnote w:type="continuationSeparator" w:id="0">
    <w:p w14:paraId="49DEDA30" w14:textId="77777777" w:rsidR="00EF0AC9" w:rsidRDefault="00EF0AC9" w:rsidP="00EF3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2AD3E" w14:textId="77777777" w:rsidR="00EF0AC9" w:rsidRDefault="00EF0AC9" w:rsidP="00EF35C1">
      <w:r>
        <w:separator/>
      </w:r>
    </w:p>
  </w:footnote>
  <w:footnote w:type="continuationSeparator" w:id="0">
    <w:p w14:paraId="57BD92D9" w14:textId="77777777" w:rsidR="00EF0AC9" w:rsidRDefault="00EF0AC9" w:rsidP="00EF35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F69E6" w14:textId="178305FF" w:rsidR="007C3CCA" w:rsidRDefault="00EF35C1" w:rsidP="00EF35C1">
    <w:pPr>
      <w:pStyle w:val="xcontentpasted0"/>
      <w:jc w:val="center"/>
      <w:rPr>
        <w:rStyle w:val="Strong"/>
        <w:rFonts w:ascii="Helvetica" w:hAnsi="Helvetica" w:cs="Helvetica"/>
        <w:color w:val="000000"/>
        <w:sz w:val="28"/>
        <w:szCs w:val="28"/>
        <w:u w:val="single"/>
        <w:shd w:val="clear" w:color="auto" w:fill="FFFFFF"/>
      </w:rPr>
    </w:pPr>
    <w:r w:rsidRPr="007C3CCA">
      <w:rPr>
        <w:rStyle w:val="Strong"/>
        <w:rFonts w:ascii="Helvetica" w:hAnsi="Helvetica" w:cs="Helvetica"/>
        <w:color w:val="000000"/>
        <w:sz w:val="28"/>
        <w:szCs w:val="28"/>
        <w:u w:val="single"/>
        <w:shd w:val="clear" w:color="auto" w:fill="FFFFFF"/>
      </w:rPr>
      <w:t xml:space="preserve">Upton Board of Assessors </w:t>
    </w:r>
    <w:r w:rsidR="007C3CCA">
      <w:rPr>
        <w:rStyle w:val="Strong"/>
        <w:rFonts w:ascii="Helvetica" w:hAnsi="Helvetica" w:cs="Helvetica"/>
        <w:color w:val="000000"/>
        <w:sz w:val="28"/>
        <w:szCs w:val="28"/>
        <w:u w:val="single"/>
        <w:shd w:val="clear" w:color="auto" w:fill="FFFFFF"/>
      </w:rPr>
      <w:t>A</w:t>
    </w:r>
    <w:r w:rsidRPr="007C3CCA">
      <w:rPr>
        <w:rStyle w:val="Strong"/>
        <w:rFonts w:ascii="Helvetica" w:hAnsi="Helvetica" w:cs="Helvetica"/>
        <w:color w:val="000000"/>
        <w:sz w:val="28"/>
        <w:szCs w:val="28"/>
        <w:u w:val="single"/>
        <w:shd w:val="clear" w:color="auto" w:fill="FFFFFF"/>
      </w:rPr>
      <w:t xml:space="preserve">nnounce </w:t>
    </w:r>
  </w:p>
  <w:p w14:paraId="27F42A68" w14:textId="1B9C0B04" w:rsidR="00EF35C1" w:rsidRPr="007C3CCA" w:rsidRDefault="00EF35C1" w:rsidP="00EF35C1">
    <w:pPr>
      <w:pStyle w:val="xcontentpasted0"/>
      <w:jc w:val="center"/>
      <w:rPr>
        <w:sz w:val="28"/>
        <w:szCs w:val="28"/>
        <w:u w:val="single"/>
      </w:rPr>
    </w:pPr>
    <w:r w:rsidRPr="007C3CCA">
      <w:rPr>
        <w:rStyle w:val="Strong"/>
        <w:rFonts w:ascii="Helvetica" w:hAnsi="Helvetica" w:cs="Helvetica"/>
        <w:color w:val="000000"/>
        <w:sz w:val="28"/>
        <w:szCs w:val="28"/>
        <w:u w:val="single"/>
        <w:shd w:val="clear" w:color="auto" w:fill="FFFFFF"/>
      </w:rPr>
      <w:t xml:space="preserve">Fiscal Year 2024 Tax </w:t>
    </w:r>
    <w:r w:rsidR="00FC63D3" w:rsidRPr="007C3CCA">
      <w:rPr>
        <w:rStyle w:val="Strong"/>
        <w:rFonts w:ascii="Helvetica" w:hAnsi="Helvetica" w:cs="Helvetica"/>
        <w:color w:val="000000"/>
        <w:sz w:val="28"/>
        <w:szCs w:val="28"/>
        <w:u w:val="single"/>
        <w:shd w:val="clear" w:color="auto" w:fill="FFFFFF"/>
      </w:rPr>
      <w:t>R</w:t>
    </w:r>
    <w:r w:rsidRPr="007C3CCA">
      <w:rPr>
        <w:rStyle w:val="Strong"/>
        <w:rFonts w:ascii="Helvetica" w:hAnsi="Helvetica" w:cs="Helvetica"/>
        <w:color w:val="000000"/>
        <w:sz w:val="28"/>
        <w:szCs w:val="28"/>
        <w:u w:val="single"/>
        <w:shd w:val="clear" w:color="auto" w:fill="FFFFFF"/>
      </w:rPr>
      <w:t>ate of $13.68</w:t>
    </w:r>
  </w:p>
  <w:p w14:paraId="1C86B679" w14:textId="77777777" w:rsidR="00EF35C1" w:rsidRDefault="00EF35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5C1"/>
    <w:rsid w:val="0005429A"/>
    <w:rsid w:val="000A4735"/>
    <w:rsid w:val="0037408A"/>
    <w:rsid w:val="0059096D"/>
    <w:rsid w:val="007C3CCA"/>
    <w:rsid w:val="00C257C4"/>
    <w:rsid w:val="00CA52F5"/>
    <w:rsid w:val="00D23B42"/>
    <w:rsid w:val="00EC3039"/>
    <w:rsid w:val="00EF0AC9"/>
    <w:rsid w:val="00EF35C1"/>
    <w:rsid w:val="00F81C80"/>
    <w:rsid w:val="00FC6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7DB9A"/>
  <w15:chartTrackingRefBased/>
  <w15:docId w15:val="{F64F5DA7-C991-4F71-9829-D8C03E41C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5C1"/>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EF35C1"/>
  </w:style>
  <w:style w:type="paragraph" w:customStyle="1" w:styleId="xcontentpasted0">
    <w:name w:val="x_contentpasted0"/>
    <w:basedOn w:val="Normal"/>
    <w:rsid w:val="00EF35C1"/>
  </w:style>
  <w:style w:type="character" w:customStyle="1" w:styleId="xcontentpasted01">
    <w:name w:val="x_contentpasted01"/>
    <w:basedOn w:val="DefaultParagraphFont"/>
    <w:rsid w:val="00EF35C1"/>
  </w:style>
  <w:style w:type="character" w:styleId="Strong">
    <w:name w:val="Strong"/>
    <w:basedOn w:val="DefaultParagraphFont"/>
    <w:uiPriority w:val="22"/>
    <w:qFormat/>
    <w:rsid w:val="00EF35C1"/>
    <w:rPr>
      <w:b/>
      <w:bCs/>
    </w:rPr>
  </w:style>
  <w:style w:type="character" w:styleId="Emphasis">
    <w:name w:val="Emphasis"/>
    <w:basedOn w:val="DefaultParagraphFont"/>
    <w:uiPriority w:val="20"/>
    <w:qFormat/>
    <w:rsid w:val="00EF35C1"/>
    <w:rPr>
      <w:i/>
      <w:iCs/>
    </w:rPr>
  </w:style>
  <w:style w:type="paragraph" w:styleId="Header">
    <w:name w:val="header"/>
    <w:basedOn w:val="Normal"/>
    <w:link w:val="HeaderChar"/>
    <w:uiPriority w:val="99"/>
    <w:unhideWhenUsed/>
    <w:rsid w:val="00EF35C1"/>
    <w:pPr>
      <w:tabs>
        <w:tab w:val="center" w:pos="4680"/>
        <w:tab w:val="right" w:pos="9360"/>
      </w:tabs>
    </w:pPr>
  </w:style>
  <w:style w:type="character" w:customStyle="1" w:styleId="HeaderChar">
    <w:name w:val="Header Char"/>
    <w:basedOn w:val="DefaultParagraphFont"/>
    <w:link w:val="Header"/>
    <w:uiPriority w:val="99"/>
    <w:rsid w:val="00EF35C1"/>
    <w:rPr>
      <w:rFonts w:ascii="Calibri" w:hAnsi="Calibri" w:cs="Calibri"/>
      <w:kern w:val="0"/>
      <w14:ligatures w14:val="none"/>
    </w:rPr>
  </w:style>
  <w:style w:type="paragraph" w:styleId="Footer">
    <w:name w:val="footer"/>
    <w:basedOn w:val="Normal"/>
    <w:link w:val="FooterChar"/>
    <w:uiPriority w:val="99"/>
    <w:unhideWhenUsed/>
    <w:rsid w:val="00EF35C1"/>
    <w:pPr>
      <w:tabs>
        <w:tab w:val="center" w:pos="4680"/>
        <w:tab w:val="right" w:pos="9360"/>
      </w:tabs>
    </w:pPr>
  </w:style>
  <w:style w:type="character" w:customStyle="1" w:styleId="FooterChar">
    <w:name w:val="Footer Char"/>
    <w:basedOn w:val="DefaultParagraphFont"/>
    <w:link w:val="Footer"/>
    <w:uiPriority w:val="99"/>
    <w:rsid w:val="00EF35C1"/>
    <w:rPr>
      <w:rFonts w:ascii="Calibri" w:hAnsi="Calibri" w:cs="Calibri"/>
      <w:kern w:val="0"/>
      <w14:ligatures w14:val="none"/>
    </w:rPr>
  </w:style>
  <w:style w:type="character" w:styleId="Hyperlink">
    <w:name w:val="Hyperlink"/>
    <w:basedOn w:val="DefaultParagraphFont"/>
    <w:uiPriority w:val="99"/>
    <w:semiHidden/>
    <w:unhideWhenUsed/>
    <w:rsid w:val="00EF35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oa@uptonma.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386</Words>
  <Characters>2201</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Leonardo</dc:creator>
  <cp:keywords/>
  <dc:description/>
  <cp:lastModifiedBy>Kathleen Bern</cp:lastModifiedBy>
  <cp:revision>2</cp:revision>
  <cp:lastPrinted>2023-12-08T15:04:00Z</cp:lastPrinted>
  <dcterms:created xsi:type="dcterms:W3CDTF">2023-12-14T16:17:00Z</dcterms:created>
  <dcterms:modified xsi:type="dcterms:W3CDTF">2023-12-14T16:17:00Z</dcterms:modified>
</cp:coreProperties>
</file>